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480"/>
        <w:ind w:right="0" w:left="0" w:firstLine="0"/>
        <w:jc w:val="center"/>
        <w:rPr>
          <w:rFonts w:ascii="Times New Roman" w:hAnsi="Times New Roman" w:cs="Times New Roman" w:eastAsia="Times New Roman"/>
          <w:b/>
          <w:color w:val="1D1D1D"/>
          <w:spacing w:val="0"/>
          <w:position w:val="0"/>
          <w:sz w:val="24"/>
          <w:shd w:fill="FFFFFF" w:val="clear"/>
        </w:rPr>
      </w:pPr>
      <w:r>
        <w:rPr>
          <w:rFonts w:ascii="Times New Roman" w:hAnsi="Times New Roman" w:cs="Times New Roman" w:eastAsia="Times New Roman"/>
          <w:b/>
          <w:color w:val="1D1D1D"/>
          <w:spacing w:val="0"/>
          <w:position w:val="0"/>
          <w:sz w:val="24"/>
          <w:shd w:fill="FFFFFF" w:val="clear"/>
        </w:rPr>
        <w:t xml:space="preserve">Discussion 1</w:t>
      </w:r>
    </w:p>
    <w:p>
      <w:pPr>
        <w:spacing w:before="0" w:after="160" w:line="4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1D1D1D"/>
          <w:spacing w:val="0"/>
          <w:position w:val="0"/>
          <w:sz w:val="24"/>
          <w:shd w:fill="FFFFFF" w:val="clear"/>
        </w:rPr>
        <w:t xml:space="preserve">How do culture and personal values influence the use of complementary and alternative medicine practices?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Every culture has a specific belief on the causes of illness and the curative process involved. for instance, western culture particularly the US embrace the scientific process for medical treatments or sophisticated technology to combat the microorganisms or to diagnose the disease for effective treatment</w:t>
      </w:r>
      <w:r>
        <w:rPr>
          <w:rFonts w:ascii="Times New Roman" w:hAnsi="Times New Roman" w:cs="Times New Roman" w:eastAsia="Times New Roman"/>
          <w:color w:val="222222"/>
          <w:spacing w:val="0"/>
          <w:position w:val="0"/>
          <w:sz w:val="24"/>
          <w:shd w:fill="FFFFFF" w:val="clear"/>
        </w:rPr>
        <w:t xml:space="preserve"> (Swaminathan et al, 2021)</w:t>
      </w:r>
      <w:r>
        <w:rPr>
          <w:rFonts w:ascii="Times New Roman" w:hAnsi="Times New Roman" w:cs="Times New Roman" w:eastAsia="Times New Roman"/>
          <w:color w:val="auto"/>
          <w:spacing w:val="0"/>
          <w:position w:val="0"/>
          <w:sz w:val="24"/>
          <w:shd w:fill="auto" w:val="clear"/>
        </w:rPr>
        <w:t xml:space="preserve">. Interestingly, some societies believe on supernatural interventions to counter the forces of illness regardless of the pharmacological functions of the medicines.</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1D1D1D"/>
          <w:spacing w:val="0"/>
          <w:position w:val="0"/>
          <w:sz w:val="24"/>
          <w:shd w:fill="FFFFFF" w:val="clear"/>
        </w:rPr>
        <w:t xml:space="preserve">&gt;In your own culture, what types of complementary practices are utilized? Describe the practice and what it was used for.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Considerable African-Americans are bound to church and family-centered perceptive when making the health decisions. The kinship bonds are the determinants with aunts, grandparents, uncles, or cousins who are biologically related play a significant role in the health system. Likewise, the church supports the recovery process of the individual for any African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Americans.</w:t>
      </w:r>
    </w:p>
    <w:p>
      <w:pPr>
        <w:spacing w:before="0" w:after="0" w:line="480"/>
        <w:ind w:right="0" w:left="0" w:firstLine="0"/>
        <w:jc w:val="left"/>
        <w:rPr>
          <w:rFonts w:ascii="Times New Roman" w:hAnsi="Times New Roman" w:cs="Times New Roman" w:eastAsia="Times New Roman"/>
          <w:b/>
          <w:color w:val="222222"/>
          <w:spacing w:val="0"/>
          <w:position w:val="0"/>
          <w:sz w:val="24"/>
          <w:shd w:fill="FFFFFF" w:val="clear"/>
        </w:rPr>
      </w:pPr>
      <w:r>
        <w:rPr>
          <w:rFonts w:ascii="Times New Roman" w:hAnsi="Times New Roman" w:cs="Times New Roman" w:eastAsia="Times New Roman"/>
          <w:b/>
          <w:color w:val="1D1D1D"/>
          <w:spacing w:val="0"/>
          <w:position w:val="0"/>
          <w:sz w:val="24"/>
          <w:shd w:fill="FFFFFF" w:val="clear"/>
        </w:rPr>
        <w:t xml:space="preserve">What types of complementary and alternative practices have you seen in your nursing practice or used personally and what was the effectiveness of the practice? </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Some naïve Americans have demonstrated valuing cooperation by upholding the medicine men such as shaman and their spiritual belief that health is attributable to personal harmony with nature have gained stable physiological state. These ethnic perspectives on health care system have reflected positive fruits despite the slight difference with the mainstream values of the modern scientific professionalism. The scientific-health-care outcomes have been altered by the patient’s attitude on the medical care, management of the illness, diagnosis, and the efficacy of medical treatment. However, the complementary role outdoes the drawbacks, hence the tradition is a value-addition to the health of general population.</w:t>
      </w:r>
    </w:p>
    <w:p>
      <w:pPr>
        <w:spacing w:before="0" w:after="16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2</w:t>
      </w:r>
    </w:p>
    <w:p>
      <w:pPr>
        <w:spacing w:before="0" w:after="16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Teaching Approach that a nurse can employ to evaluate the patient’s illness and execute effective treatment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Being a professional nurse, it is essential to identify and demonstrate respect on the values, differences, and preferences of the patient (</w:t>
      </w:r>
      <w:r>
        <w:rPr>
          <w:rFonts w:ascii="Times New Roman" w:hAnsi="Times New Roman" w:cs="Times New Roman" w:eastAsia="Times New Roman"/>
          <w:color w:val="222222"/>
          <w:spacing w:val="0"/>
          <w:position w:val="0"/>
          <w:sz w:val="24"/>
          <w:shd w:fill="FFFFFF" w:val="clear"/>
        </w:rPr>
        <w:t xml:space="preserve">Leigh et al 2020)</w:t>
      </w:r>
      <w:r>
        <w:rPr>
          <w:rFonts w:ascii="Times New Roman" w:hAnsi="Times New Roman" w:cs="Times New Roman" w:eastAsia="Times New Roman"/>
          <w:color w:val="auto"/>
          <w:spacing w:val="0"/>
          <w:position w:val="0"/>
          <w:sz w:val="24"/>
          <w:shd w:fill="auto" w:val="clear"/>
        </w:rPr>
        <w:t xml:space="preserve"> to cope up with the pain or suffering by informing the client the effective care and management to achieve effective decision-making aiming at wellness of the patient through disease prevention, improvement of a healthy lifestyle, as well as promotion of the population health. Also, interdisciplinary teamwork facilitates continuous, reliable and integrative care based on evidence-based practice by communicating, collaborating, and cooperating with clinical expertise to assess the best treatment procedures.</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References</w:t>
      </w:r>
    </w:p>
    <w:p>
      <w:pPr>
        <w:spacing w:before="0" w:after="16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Swaminathan, N., Govindharaj, P., Jagadeesh, N. S., &amp; Ravichandran, L. (2021). Evaluating the effectiveness of an online faculty development programme for nurse educators about remote teaching during COVID-19. </w:t>
      </w:r>
      <w:r>
        <w:rPr>
          <w:rFonts w:ascii="Times New Roman" w:hAnsi="Times New Roman" w:cs="Times New Roman" w:eastAsia="Times New Roman"/>
          <w:i/>
          <w:color w:val="222222"/>
          <w:spacing w:val="0"/>
          <w:position w:val="0"/>
          <w:sz w:val="24"/>
          <w:shd w:fill="FFFFFF" w:val="clear"/>
        </w:rPr>
        <w:t xml:space="preserve">Journal of Taibah University Medical Sciences</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16</w:t>
      </w:r>
      <w:r>
        <w:rPr>
          <w:rFonts w:ascii="Times New Roman" w:hAnsi="Times New Roman" w:cs="Times New Roman" w:eastAsia="Times New Roman"/>
          <w:color w:val="222222"/>
          <w:spacing w:val="0"/>
          <w:position w:val="0"/>
          <w:sz w:val="24"/>
          <w:shd w:fill="FFFFFF" w:val="clear"/>
        </w:rPr>
        <w:t xml:space="preserve">(2), 268-273.</w:t>
      </w:r>
    </w:p>
    <w:p>
      <w:pPr>
        <w:spacing w:before="0" w:after="16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Leigh, J., Vasilica, C., Dron, R., Gawthorpe, D., Burns, E., Kennedy, S., ... &amp; Croughan, C. (2020). Redefining undergraduate nurse teaching during the coronavirus pandemic: use of digital technologies. </w:t>
      </w:r>
      <w:r>
        <w:rPr>
          <w:rFonts w:ascii="Times New Roman" w:hAnsi="Times New Roman" w:cs="Times New Roman" w:eastAsia="Times New Roman"/>
          <w:i/>
          <w:color w:val="222222"/>
          <w:spacing w:val="0"/>
          <w:position w:val="0"/>
          <w:sz w:val="24"/>
          <w:shd w:fill="FFFFFF" w:val="clear"/>
        </w:rPr>
        <w:t xml:space="preserve">British Journal of Nursing</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29</w:t>
      </w:r>
      <w:r>
        <w:rPr>
          <w:rFonts w:ascii="Times New Roman" w:hAnsi="Times New Roman" w:cs="Times New Roman" w:eastAsia="Times New Roman"/>
          <w:color w:val="222222"/>
          <w:spacing w:val="0"/>
          <w:position w:val="0"/>
          <w:sz w:val="24"/>
          <w:shd w:fill="FFFFFF" w:val="clear"/>
        </w:rPr>
        <w:t xml:space="preserve">(10), 566-569.</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